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/>
          <w:color w:val="000000"/>
          <w:sz w:val="32"/>
          <w:szCs w:val="32"/>
        </w:rPr>
        <w:t>附件</w:t>
      </w:r>
    </w:p>
    <w:p>
      <w:pPr>
        <w:rPr>
          <w:rFonts w:ascii="方正黑体_GBK" w:eastAsia="方正黑体_GBK" w:hint="eastAsia"/>
          <w:color w:val="000000"/>
          <w:sz w:val="32"/>
          <w:szCs w:val="32"/>
        </w:rPr>
      </w:pP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进境非食用动物产品风险级别及检验检疫监管措施清单</w:t>
      </w:r>
    </w:p>
    <w:tbl>
      <w:tblPr>
        <w:jc w:val="center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863"/>
        <w:gridCol w:w="1457"/>
        <w:gridCol w:w="5942"/>
      </w:tblGrid>
      <w:tr>
        <w:trPr>
          <w:tblHeader/>
        </w:trPr>
        <w:tc>
          <w:tcPr>
            <w:tcW w:w="1752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sz w:val="24"/>
              </w:rPr>
              <w:t>类别</w:t>
            </w:r>
          </w:p>
        </w:tc>
        <w:tc>
          <w:tcPr>
            <w:tcW w:w="4863" w:type="dxa"/>
            <w:vAlign w:val="center"/>
          </w:tcPr>
          <w:p>
            <w:pPr>
              <w:spacing w:line="300" w:lineRule="exact"/>
              <w:jc w:val="center"/>
              <w:rPr>
                <w:rFonts w:ascii="方正黑体_GBK" w:eastAsia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sz w:val="24"/>
              </w:rPr>
              <w:t>产品</w:t>
            </w:r>
          </w:p>
        </w:tc>
        <w:tc>
          <w:tcPr>
            <w:tcW w:w="1457" w:type="dxa"/>
            <w:vAlign w:val="center"/>
          </w:tcPr>
          <w:p>
            <w:pPr>
              <w:spacing w:line="300" w:lineRule="exact"/>
              <w:ind w:firstLineChars="50" w:firstLine="111"/>
              <w:jc w:val="center"/>
              <w:rPr>
                <w:rFonts w:ascii="方正黑体_GBK" w:eastAsia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sz w:val="24"/>
              </w:rPr>
              <w:t>风险级别</w:t>
            </w:r>
          </w:p>
        </w:tc>
        <w:tc>
          <w:tcPr>
            <w:tcW w:w="5942" w:type="dxa"/>
            <w:vAlign w:val="center"/>
          </w:tcPr>
          <w:p>
            <w:pPr>
              <w:spacing w:line="300" w:lineRule="exact"/>
              <w:ind w:firstLineChars="50" w:firstLine="121"/>
              <w:jc w:val="center"/>
              <w:rPr>
                <w:rFonts w:ascii="方正黑体_GBK" w:eastAsia="方正黑体_GBK" w:hint="eastAsia"/>
                <w:color w:val="000000"/>
                <w:spacing w:val="10"/>
                <w:sz w:val="24"/>
              </w:rPr>
            </w:pPr>
            <w:r>
              <w:rPr>
                <w:rFonts w:ascii="方正黑体_GBK" w:eastAsia="方正黑体_GBK" w:hint="eastAsia"/>
                <w:color w:val="000000"/>
                <w:spacing w:val="10"/>
                <w:sz w:val="24"/>
              </w:rPr>
              <w:t>检验检疫监管措施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皮张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马属动物生皮张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；进境时查验检疫证书并实施检验检疫；</w:t>
            </w:r>
            <w:r>
              <w:rPr>
                <w:rFonts w:eastAsia="方正仿宋_GBK" w:hint="eastAsia"/>
                <w:color w:val="000000"/>
                <w:sz w:val="24"/>
              </w:rPr>
              <w:t>进境后在指定企业存放、加工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所有野生动物皮张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</w:t>
            </w:r>
            <w:r>
              <w:rPr>
                <w:rFonts w:eastAsia="方正仿宋_GBK"/>
                <w:color w:val="000000"/>
                <w:sz w:val="24"/>
              </w:rPr>
              <w:t>进境前需办理《进境动植物检疫许可证》；</w:t>
            </w:r>
            <w:r>
              <w:rPr>
                <w:rFonts w:eastAsia="方正仿宋_GBK" w:hint="eastAsia"/>
                <w:color w:val="000000"/>
                <w:sz w:val="24"/>
              </w:rPr>
              <w:t>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；进境时查验检疫证书并实施检验检疫；</w:t>
            </w:r>
            <w:r>
              <w:rPr>
                <w:rFonts w:eastAsia="方正仿宋_GBK" w:hint="eastAsia"/>
                <w:color w:val="000000"/>
                <w:sz w:val="24"/>
              </w:rPr>
              <w:t>进境后在指定企业存放、加工</w:t>
            </w:r>
          </w:p>
        </w:tc>
      </w:tr>
      <w:tr>
        <w:trPr>
          <w:trHeight w:val="1254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其他动物生皮张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</w:t>
            </w:r>
          </w:p>
        </w:tc>
      </w:tr>
      <w:tr>
        <w:trPr>
          <w:trHeight w:val="503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ind w:firstLineChars="164" w:firstLine="363"/>
              <w:jc w:val="left"/>
              <w:rPr>
                <w:rFonts w:eastAsia="方正仿宋_GBK"/>
                <w:b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灰皮（PH值不低于14的环境中处理至少2小时）、浸酸皮（PH值不高于2的环境中处理至少1小时）和其他等效方法加工的未鞣制动物皮张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鞣制皮</w:t>
            </w:r>
            <w:r>
              <w:rPr>
                <w:rFonts w:eastAsia="方正仿宋_GBK" w:hint="eastAsia"/>
                <w:color w:val="000000"/>
                <w:sz w:val="24"/>
              </w:rPr>
              <w:t>张（来自</w:t>
            </w:r>
            <w:r>
              <w:rPr>
                <w:rFonts w:eastAsia="方正仿宋_GBK"/>
                <w:color w:val="000000"/>
                <w:sz w:val="24"/>
              </w:rPr>
              <w:t>相关</w:t>
            </w:r>
            <w:r>
              <w:rPr>
                <w:rFonts w:eastAsia="方正仿宋_GBK" w:hint="eastAsia"/>
                <w:color w:val="000000"/>
                <w:sz w:val="24"/>
              </w:rPr>
              <w:t>动物疫情禁令国家或地区）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</w:t>
            </w:r>
          </w:p>
        </w:tc>
      </w:tr>
      <w:tr>
        <w:trPr>
          <w:trHeight w:val="427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0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鞣制皮</w:t>
            </w:r>
            <w:r>
              <w:rPr>
                <w:rFonts w:eastAsia="方正仿宋_GBK" w:hint="eastAsia"/>
                <w:color w:val="000000"/>
                <w:sz w:val="24"/>
              </w:rPr>
              <w:t>张（来自</w:t>
            </w:r>
            <w:r>
              <w:rPr>
                <w:rFonts w:eastAsia="方正仿宋_GBK"/>
                <w:color w:val="000000"/>
                <w:sz w:val="24"/>
              </w:rPr>
              <w:t>无相关</w:t>
            </w:r>
            <w:r>
              <w:rPr>
                <w:rFonts w:eastAsia="方正仿宋_GBK" w:hint="eastAsia"/>
                <w:color w:val="000000"/>
                <w:sz w:val="24"/>
              </w:rPr>
              <w:t>动物疫情禁令国家或地区）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毛类和纤维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原毛，原绒，未水洗羽毛羽绒，未经加工</w:t>
            </w:r>
            <w:r>
              <w:rPr>
                <w:rFonts w:eastAsia="方正仿宋_GBK" w:hint="eastAsia"/>
                <w:color w:val="000000"/>
                <w:sz w:val="24"/>
              </w:rPr>
              <w:t>的</w:t>
            </w:r>
            <w:r>
              <w:rPr>
                <w:rFonts w:eastAsia="方正仿宋_GBK"/>
                <w:color w:val="000000"/>
                <w:sz w:val="24"/>
              </w:rPr>
              <w:t>鬃、尾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；进境前需办理《进境动植物检疫许可证》；进境时查验检疫证书并实施检验检疫；</w:t>
            </w:r>
            <w:r>
              <w:rPr>
                <w:rFonts w:eastAsia="方正仿宋_GBK" w:hint="eastAsia"/>
                <w:color w:val="000000"/>
                <w:sz w:val="24"/>
              </w:rPr>
              <w:t>进境后在指定企业存放、加工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洗净毛、绒，水洗羽毛羽绒，水洗马、牛（鬃）尾毛，水煮猪鬃，羊毛落毛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</w:t>
            </w:r>
          </w:p>
        </w:tc>
      </w:tr>
      <w:tr>
        <w:trPr>
          <w:trHeight w:val="948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已脱脂或染色的装饰羽毛羽绒，炭化毛，已梳毛，毛条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骨蹄角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</w:t>
            </w:r>
            <w:r>
              <w:rPr>
                <w:rFonts w:eastAsia="方正仿宋_GBK" w:hint="eastAsia"/>
                <w:color w:val="000000"/>
                <w:sz w:val="24"/>
              </w:rPr>
              <w:t>和</w:t>
            </w:r>
            <w:r>
              <w:rPr>
                <w:rFonts w:eastAsia="方正仿宋_GBK"/>
                <w:color w:val="000000"/>
                <w:sz w:val="24"/>
              </w:rPr>
              <w:t>初级加工的</w:t>
            </w:r>
            <w:r>
              <w:rPr>
                <w:rFonts w:eastAsia="方正仿宋_GBK" w:hint="eastAsia"/>
                <w:color w:val="000000"/>
                <w:sz w:val="24"/>
              </w:rPr>
              <w:t>陆生</w:t>
            </w:r>
            <w:r>
              <w:rPr>
                <w:rFonts w:eastAsia="方正仿宋_GBK"/>
                <w:color w:val="000000"/>
                <w:sz w:val="24"/>
              </w:rPr>
              <w:t>动物骨、蹄、角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；进境前需办理《进境动植物检疫许可证》；进境时查验检疫证书并实施检验检疫；</w:t>
            </w:r>
            <w:r>
              <w:rPr>
                <w:rFonts w:eastAsia="方正仿宋_GBK" w:hint="eastAsia"/>
                <w:color w:val="000000"/>
                <w:sz w:val="24"/>
              </w:rPr>
              <w:t>进境后在指定企业存放、加工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热加工</w:t>
            </w: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eastAsia="方正仿宋_GBK" w:hint="eastAsia"/>
                <w:color w:val="000000"/>
                <w:sz w:val="24"/>
              </w:rPr>
              <w:t>产品中心温度</w:t>
            </w:r>
            <w:r>
              <w:rPr>
                <w:rFonts w:eastAsia="方正仿宋_GBK"/>
                <w:color w:val="000000"/>
                <w:sz w:val="24"/>
              </w:rPr>
              <w:t>不低于80℃至少30分钟）</w:t>
            </w:r>
            <w:r>
              <w:rPr>
                <w:rFonts w:eastAsia="方正仿宋_GBK" w:hint="eastAsia"/>
                <w:color w:val="000000"/>
                <w:sz w:val="24"/>
              </w:rPr>
              <w:t>反刍</w:t>
            </w:r>
            <w:r>
              <w:rPr>
                <w:rFonts w:eastAsia="方正仿宋_GBK"/>
                <w:color w:val="000000"/>
                <w:sz w:val="24"/>
              </w:rPr>
              <w:t>动物骨、蹄、角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河马牙等动物原牙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热加工</w:t>
            </w:r>
            <w:r>
              <w:rPr>
                <w:rFonts w:eastAsia="方正仿宋_GBK"/>
                <w:color w:val="000000"/>
                <w:sz w:val="24"/>
              </w:rPr>
              <w:t>（</w:t>
            </w:r>
            <w:r>
              <w:rPr>
                <w:rFonts w:eastAsia="方正仿宋_GBK" w:hint="eastAsia"/>
                <w:color w:val="000000"/>
                <w:sz w:val="24"/>
              </w:rPr>
              <w:t>产品中心温度</w:t>
            </w:r>
            <w:r>
              <w:rPr>
                <w:rFonts w:eastAsia="方正仿宋_GBK"/>
                <w:color w:val="000000"/>
                <w:sz w:val="24"/>
              </w:rPr>
              <w:t>不低于80℃至少30分钟）</w:t>
            </w:r>
            <w:r>
              <w:rPr>
                <w:rFonts w:eastAsia="方正仿宋_GBK" w:hint="eastAsia"/>
                <w:color w:val="000000"/>
                <w:sz w:val="24"/>
              </w:rPr>
              <w:t>非反刍</w:t>
            </w:r>
            <w:r>
              <w:rPr>
                <w:rFonts w:eastAsia="方正仿宋_GBK"/>
                <w:color w:val="000000"/>
                <w:sz w:val="24"/>
              </w:rPr>
              <w:t>动物骨、蹄、角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</w:t>
            </w:r>
          </w:p>
        </w:tc>
      </w:tr>
      <w:tr>
        <w:trPr>
          <w:trHeight w:val="382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猛犸牙等化石类动物骨、蹄、角、牙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深加工的动物骨蹄角牙制成的文化艺术品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动物角加工的研磨钵、茶叶勺、梳子、鞋拔等制品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油脂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</w:t>
            </w:r>
            <w:r>
              <w:rPr>
                <w:rFonts w:eastAsia="方正仿宋_GBK" w:hint="eastAsia"/>
                <w:color w:val="000000"/>
                <w:sz w:val="24"/>
              </w:rPr>
              <w:t>陆生</w:t>
            </w:r>
            <w:r>
              <w:rPr>
                <w:rFonts w:eastAsia="方正仿宋_GBK"/>
                <w:color w:val="000000"/>
                <w:sz w:val="24"/>
              </w:rPr>
              <w:t>动物脂肪及其冷榨油脂，TSE疫情禁令国家或地区的高温炼制</w:t>
            </w:r>
            <w:r>
              <w:rPr>
                <w:rFonts w:eastAsia="方正仿宋_GBK" w:hint="eastAsia"/>
                <w:color w:val="000000"/>
                <w:sz w:val="24"/>
              </w:rPr>
              <w:t>（产品中心温度</w:t>
            </w:r>
            <w:r>
              <w:rPr>
                <w:rFonts w:eastAsia="方正仿宋_GBK"/>
                <w:color w:val="000000"/>
                <w:sz w:val="24"/>
              </w:rPr>
              <w:t>不低于80℃至少30分钟</w:t>
            </w:r>
            <w:r>
              <w:rPr>
                <w:rFonts w:eastAsia="方正仿宋_GBK" w:hint="eastAsia"/>
                <w:color w:val="000000"/>
                <w:sz w:val="24"/>
              </w:rPr>
              <w:t>）</w:t>
            </w:r>
            <w:r>
              <w:rPr>
                <w:rFonts w:eastAsia="方正仿宋_GBK"/>
                <w:color w:val="000000"/>
                <w:sz w:val="24"/>
              </w:rPr>
              <w:t>反刍动物油脂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高温炼制（</w:t>
            </w:r>
            <w:r>
              <w:rPr>
                <w:rFonts w:eastAsia="方正仿宋_GBK" w:hint="eastAsia"/>
                <w:color w:val="000000"/>
                <w:sz w:val="24"/>
              </w:rPr>
              <w:t>产品中心温度</w:t>
            </w:r>
            <w:r>
              <w:rPr>
                <w:rFonts w:eastAsia="方正仿宋_GBK"/>
                <w:color w:val="000000"/>
                <w:sz w:val="24"/>
              </w:rPr>
              <w:t>不低于80℃至少30分钟）的动物油脂</w:t>
            </w:r>
            <w:r>
              <w:rPr>
                <w:rFonts w:eastAsia="方正仿宋_GBK" w:hint="eastAsia"/>
                <w:color w:val="000000"/>
                <w:sz w:val="24"/>
              </w:rPr>
              <w:t>（</w:t>
            </w:r>
            <w:r>
              <w:rPr>
                <w:rFonts w:eastAsia="方正仿宋_GBK"/>
                <w:color w:val="000000"/>
                <w:sz w:val="24"/>
              </w:rPr>
              <w:t>TSE疫情禁令国家或地区的反刍动物油脂</w:t>
            </w:r>
            <w:r>
              <w:rPr>
                <w:rFonts w:eastAsia="方正仿宋_GBK" w:hint="eastAsia"/>
                <w:color w:val="000000"/>
                <w:sz w:val="24"/>
              </w:rPr>
              <w:t>除外）</w:t>
            </w:r>
            <w:r>
              <w:rPr>
                <w:rFonts w:eastAsia="方正仿宋_GBK"/>
                <w:color w:val="000000"/>
                <w:sz w:val="24"/>
              </w:rPr>
              <w:t>，两栖类和爬行类动物油脂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羊毛脂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；进境时查验检疫证书并实施检验检疫</w:t>
            </w:r>
          </w:p>
        </w:tc>
      </w:tr>
      <w:tr>
        <w:trPr>
          <w:trHeight w:val="430"/>
        </w:trPr>
        <w:tc>
          <w:tcPr>
            <w:tcW w:w="1752" w:type="dxa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动物标本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经防腐处理动物标本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蚕产品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未经加工蚕茧、蚕蛹、削口茧，长吐，滞头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落绵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生丝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蜂产品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未经加工蜂巢、蜂蜡、蜂胶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75"/>
              </w:tabs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其它蜂产品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rPr>
          <w:trHeight w:val="625"/>
        </w:trP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水产品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未经加工皮、骨、鳞</w:t>
            </w:r>
            <w:r>
              <w:rPr>
                <w:rFonts w:eastAsia="方正仿宋_GBK" w:hint="eastAsia"/>
                <w:color w:val="000000"/>
                <w:sz w:val="24"/>
              </w:rPr>
              <w:t>、</w:t>
            </w:r>
            <w:r>
              <w:rPr>
                <w:rFonts w:eastAsia="方正仿宋_GBK"/>
                <w:color w:val="000000"/>
                <w:sz w:val="24"/>
              </w:rPr>
              <w:t>壳等水生动物副产品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进境时查验检疫证书并实施检验检疫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加工</w:t>
            </w:r>
            <w:r>
              <w:rPr>
                <w:rFonts w:eastAsia="方正仿宋_GBK"/>
                <w:color w:val="000000"/>
                <w:sz w:val="24"/>
              </w:rPr>
              <w:t>的皮、骨、鳞、</w:t>
            </w:r>
            <w:r>
              <w:rPr>
                <w:rFonts w:eastAsia="方正仿宋_GBK" w:hint="eastAsia"/>
                <w:color w:val="000000"/>
                <w:sz w:val="24"/>
              </w:rPr>
              <w:t>壳</w:t>
            </w:r>
            <w:r>
              <w:rPr>
                <w:rFonts w:eastAsia="方正仿宋_GBK"/>
                <w:color w:val="000000"/>
                <w:sz w:val="24"/>
              </w:rPr>
              <w:t>等水生动物副产品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珊瑚</w:t>
            </w:r>
            <w:r>
              <w:rPr>
                <w:rFonts w:eastAsia="方正仿宋_GBK" w:hint="eastAsia"/>
                <w:color w:val="000000"/>
                <w:sz w:val="24"/>
              </w:rPr>
              <w:t>、珍珠、天然海绵</w:t>
            </w:r>
            <w:r>
              <w:rPr>
                <w:rFonts w:eastAsia="方正仿宋_GBK"/>
                <w:color w:val="000000"/>
                <w:sz w:val="24"/>
              </w:rPr>
              <w:t>及其制品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Ⅳ级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进境时实施检验检疫</w:t>
            </w:r>
          </w:p>
        </w:tc>
      </w:tr>
      <w:tr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其他非食用动物产品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未经加工</w:t>
            </w:r>
            <w:r>
              <w:rPr>
                <w:rFonts w:eastAsia="方正仿宋_GBK" w:hint="eastAsia"/>
                <w:color w:val="000000"/>
                <w:sz w:val="24"/>
              </w:rPr>
              <w:t>和</w:t>
            </w:r>
            <w:r>
              <w:rPr>
                <w:rFonts w:eastAsia="方正仿宋_GBK"/>
                <w:color w:val="000000"/>
                <w:sz w:val="24"/>
              </w:rPr>
              <w:t>初级加工的内脏、组织和消化液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</w:t>
            </w:r>
            <w:r>
              <w:rPr>
                <w:rFonts w:eastAsia="方正仿宋_GBK"/>
                <w:color w:val="000000"/>
                <w:sz w:val="24"/>
              </w:rPr>
              <w:t>；进境前需办理《进境动植物检疫许可证》；进境时查验检疫证书并实施检验检疫；</w:t>
            </w:r>
            <w:r>
              <w:rPr>
                <w:rFonts w:eastAsia="方正仿宋_GBK" w:hint="eastAsia"/>
                <w:color w:val="000000"/>
                <w:sz w:val="24"/>
              </w:rPr>
              <w:t>进境后在指定企业存放、加工</w:t>
            </w:r>
          </w:p>
        </w:tc>
      </w:tr>
      <w:t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动物源性肥料</w:t>
            </w:r>
            <w:r>
              <w:rPr>
                <w:rFonts w:eastAsia="方正仿宋_GBK" w:hint="eastAsia"/>
                <w:color w:val="000000"/>
                <w:sz w:val="24"/>
              </w:rPr>
              <w:t>，反刍动物源性骨明胶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需检疫准入；境外生产加工企业注册登记；进境前需办理《进境动植物检疫许可证》；进境时</w:t>
            </w:r>
            <w:r>
              <w:rPr>
                <w:rFonts w:eastAsia="方正仿宋_GBK"/>
                <w:color w:val="000000"/>
                <w:sz w:val="24"/>
              </w:rPr>
              <w:t>查验检疫证书并实施检验检疫</w:t>
            </w:r>
          </w:p>
        </w:tc>
      </w:tr>
      <w:tr>
        <w:trPr>
          <w:trHeight w:val="1380"/>
        </w:trPr>
        <w:tc>
          <w:tcPr>
            <w:tcW w:w="1752" w:type="dxa"/>
            <w:vMerge/>
            <w:vAlign w:val="center"/>
          </w:tcPr>
          <w:p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干酪素等深加工或提炼的奶源性产品，</w:t>
            </w:r>
            <w:r>
              <w:rPr>
                <w:rFonts w:eastAsia="方正仿宋_GBK" w:hint="eastAsia"/>
                <w:color w:val="000000"/>
                <w:sz w:val="24"/>
              </w:rPr>
              <w:t>其他</w:t>
            </w:r>
            <w:r>
              <w:rPr>
                <w:rFonts w:eastAsia="方正仿宋_GBK"/>
                <w:color w:val="000000"/>
                <w:sz w:val="24"/>
              </w:rPr>
              <w:t>明胶</w:t>
            </w:r>
            <w:r>
              <w:rPr>
                <w:rFonts w:eastAsia="方正仿宋_GBK" w:hint="eastAsia"/>
                <w:color w:val="000000"/>
                <w:sz w:val="24"/>
              </w:rPr>
              <w:t>，</w:t>
            </w:r>
            <w:r>
              <w:rPr>
                <w:rFonts w:eastAsia="方正仿宋_GBK"/>
                <w:color w:val="000000"/>
                <w:sz w:val="24"/>
              </w:rPr>
              <w:t>硫酸软骨素、磷酸二氢钙、胆盐等深加工或提炼后的动物源性副产品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III级</w:t>
            </w:r>
          </w:p>
        </w:tc>
        <w:tc>
          <w:tcPr>
            <w:tcW w:w="5942" w:type="dxa"/>
            <w:vAlign w:val="center"/>
          </w:tcPr>
          <w:p>
            <w:pPr>
              <w:spacing w:line="280" w:lineRule="exact"/>
              <w:ind w:firstLineChars="164" w:firstLine="363"/>
              <w:jc w:val="left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进境时查验检疫证书并实施检验检疫</w:t>
            </w:r>
          </w:p>
        </w:tc>
      </w:tr>
    </w:tbl>
    <w:p>
      <w:pPr>
        <w:spacing w:line="480" w:lineRule="exact"/>
        <w:ind w:firstLineChars="100" w:firstLine="222"/>
        <w:rPr>
          <w:rFonts w:eastAsia="方正仿宋简体"/>
          <w:b/>
          <w:color w:val="000000"/>
          <w:sz w:val="24"/>
        </w:rPr>
      </w:pPr>
    </w:p>
    <w:p>
      <w:pPr>
        <w:ind w:firstLineChars="100" w:firstLine="222"/>
        <w:rPr>
          <w:rFonts w:eastAsia="方正仿宋简体"/>
          <w:color w:val="000000"/>
          <w:sz w:val="24"/>
        </w:rPr>
      </w:pPr>
    </w:p>
    <w:sectPr>
      <w:footerReference w:type="default" r:id="rId2"/>
      <w:footerReference w:type="even" r:id="rId3"/>
      <w:pgSz w:w="16838" w:h="11906" w:orient="landscape"/>
      <w:pgMar w:top="1644" w:right="1701" w:bottom="1644" w:left="1701" w:header="851" w:footer="1418" w:gutter="0"/>
      <w:docGrid w:type="linesAndChars" w:linePitch="292" w:charSpace="-378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华文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86"/>
    <w:family w:val="auto"/>
    <w:pitch w:val="variable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华文细黑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panose1 w:val="00000000000000000000"/>
    <w:charset w:val="86"/>
    <w:family w:val="modern"/>
    <w:pitch w:val="variable"/>
    <w:sig w:usb0="00000000" w:usb1="0000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6"/>
      </w:rPr>
      <w:fldChar w:fldCharType="begin"/>
    </w:r>
    <w:r>
      <w:rPr>
        <w:rStyle w:val="26"/>
      </w:rPr>
      <w:instrText>Page</w:instrText>
    </w:r>
    <w:r>
      <w:rPr>
        <w:rStyle w:val="26"/>
      </w:rPr>
      <w:fldChar w:fldCharType="separate"/>
    </w:r>
    <w:r>
      <w:rPr>
        <w:rStyle w:val="26"/>
      </w:rPr>
      <w:t>1</w:t>
    </w:r>
    <w:r>
      <w:rPr>
        <w:rStyle w:val="26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6"/>
        <w:rFonts w:ascii="宋体"/>
        <w:sz w:val="28"/>
        <w:szCs w:val="28"/>
      </w:rPr>
    </w:pPr>
  </w:p>
  <w:p>
    <w:pPr>
      <w:pStyle w:val="20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20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6"/>
      </w:rPr>
      <w:fldChar w:fldCharType="begin"/>
    </w:r>
    <w:r>
      <w:rPr>
        <w:rStyle w:val="26"/>
      </w:rPr>
      <w:instrText>Page</w:instrText>
    </w:r>
    <w:r>
      <w:rPr>
        <w:rStyle w:val="26"/>
      </w:rPr>
      <w:fldChar w:fldCharType="separate"/>
    </w:r>
    <w:r>
      <w:rPr>
        <w:rStyle w:val="26"/>
      </w:rPr>
      <w:t>1</w:t>
    </w:r>
    <w:r>
      <w:rPr>
        <w:rStyle w:val="26"/>
      </w:rPr>
      <w:fldChar w:fldCharType="end"/>
    </w:r>
  </w:p>
  <w:p>
    <w:pPr>
      <w:pStyle w:val="20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26"/>
      </w:rPr>
    </w:pPr>
    <w:r>
      <w:rPr>
        <w:rStyle w:val="26"/>
      </w:rPr>
      <w:fldChar w:fldCharType="begin"/>
    </w:r>
    <w:r>
      <w:rPr>
        <w:rStyle w:val="26"/>
      </w:rPr>
      <w:instrText xml:space="preserve">PAGE  </w:instrText>
    </w:r>
    <w:r>
      <w:rPr>
        <w:rStyle w:val="26"/>
      </w:rPr>
      <w:fldChar w:fldCharType="separate"/>
    </w:r>
    <w:r>
      <w:rPr>
        <w:rStyle w:val="26"/>
      </w:rPr>
      <w:t>2</w:t>
    </w:r>
    <w:r>
      <w:rPr>
        <w:rStyle w:val="26"/>
      </w:rPr>
      <w:fldChar w:fldCharType="end"/>
    </w:r>
  </w:p>
  <w:p>
    <w:pPr>
      <w:pStyle w:val="20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0"/>
  <w:drawingGridVerticalSpacing w:val="146"/>
  <w:displayHorizontalDrawingGridEvery w:val="0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DVjNzdlOWMyZjI2MjE3NjUyNTAwZTdhNTMxZmM0MT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Body Text"/>
    <w:basedOn w:val="0"/>
    <w:pPr>
      <w:spacing w:after="120"/>
    </w:pPr>
  </w:style>
  <w:style w:type="paragraph" w:styleId="17">
    <w:name w:val="Body Text Indent"/>
    <w:basedOn w:val="0"/>
    <w:pPr>
      <w:spacing w:after="120"/>
      <w:ind w:leftChars="200" w:left="200"/>
    </w:pPr>
  </w:style>
  <w:style w:type="paragraph" w:styleId="18">
    <w:name w:val="Date"/>
    <w:basedOn w:val="0"/>
    <w:next w:val="0"/>
    <w:pPr>
      <w:ind w:leftChars="2500" w:left="2500"/>
    </w:pPr>
  </w:style>
  <w:style w:type="paragraph" w:styleId="19">
    <w:name w:val="Balloon Text"/>
    <w:basedOn w:val="0"/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Body Text Indent 3"/>
    <w:basedOn w:val="0"/>
    <w:pPr>
      <w:spacing w:after="120"/>
      <w:ind w:leftChars="200" w:left="200"/>
    </w:pPr>
    <w:rPr>
      <w:sz w:val="16"/>
      <w:szCs w:val="16"/>
    </w:rPr>
  </w:style>
  <w:style w:type="paragraph" w:styleId="23">
    <w:name w:val="HTML Preformatted"/>
    <w:basedOn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</w:rPr>
  </w:style>
  <w:style w:type="paragraph" w:styleId="24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</w:rPr>
  </w:style>
  <w:style w:type="character" w:styleId="25">
    <w:name w:val="Strong"/>
    <w:basedOn w:val="10"/>
    <w:rPr>
      <w:rFonts w:cs="Times New Roman"/>
      <w:b/>
    </w:rPr>
  </w:style>
  <w:style w:type="character" w:styleId="26">
    <w:name w:val="page number"/>
    <w:basedOn w:val="10"/>
    <w:rPr>
      <w:rFonts w:cs="Times New Roman"/>
    </w:rPr>
  </w:style>
  <w:style w:type="character" w:styleId="27">
    <w:name w:val="HTML Typewriter"/>
    <w:basedOn w:val="10"/>
    <w:rPr>
      <w:rFonts w:ascii="宋体" w:eastAsia="宋体" w:cs="Times New Roman"/>
      <w:sz w:val="18"/>
    </w:rPr>
  </w:style>
  <w:style w:type="character" w:styleId="28">
    <w:name w:val="Hyperlink"/>
    <w:basedOn w:val="10"/>
    <w:rPr>
      <w:rFonts w:cs="Times New Roman"/>
      <w:color w:val="0000FF"/>
      <w:u w:val="single"/>
    </w:rPr>
  </w:style>
  <w:style w:type="character" w:styleId="29">
    <w:name w:val="annotation reference"/>
    <w:basedOn w:val="10"/>
    <w:rPr>
      <w:rFonts w:cs="Times New Roman"/>
      <w:sz w:val="21"/>
    </w:rPr>
  </w:style>
  <w:style w:type="paragraph" w:customStyle="1" w:styleId="30">
    <w:name w:val="Char"/>
    <w:basedOn w:val="0"/>
    <w:pPr>
      <w:widowControl/>
      <w:spacing w:after="160" w:line="240" w:lineRule="exact"/>
      <w:jc w:val="left"/>
    </w:pPr>
    <w:rPr>
      <w:rFonts w:ascii="Verdana" w:eastAsia="楷体_GB2312" w:hAnsi="Verdana"/>
      <w:kern w:val="0"/>
      <w:sz w:val="18"/>
      <w:szCs w:val="20"/>
    </w:rPr>
  </w:style>
  <w:style w:type="paragraph" w:customStyle="1" w:styleId="31">
    <w:name w:val="_Style 12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32">
    <w:name w:val="三级条标题"/>
    <w:basedOn w:val="0"/>
    <w:next w:val="0"/>
    <w:pPr>
      <w:widowControl/>
      <w:outlineLvl w:val="4"/>
    </w:pPr>
    <w:rPr>
      <w:rFonts w:ascii="黑体" w:eastAsia="黑体"/>
      <w:kern w:val="0"/>
      <w:szCs w:val="20"/>
    </w:rPr>
  </w:style>
  <w:style w:type="paragraph" w:customStyle="1" w:styleId="33">
    <w:name w:val="段"/>
    <w:pPr>
      <w:autoSpaceDE w:val="0"/>
      <w:autoSpaceDN w:val="0"/>
      <w:ind w:firstLineChars="200" w:firstLine="200"/>
      <w:jc w:val="both"/>
    </w:pPr>
    <w:rPr>
      <w:rFonts w:ascii="宋体" w:eastAsia="宋体" w:cs="Times New Roman"/>
      <w:sz w:val="21"/>
      <w:szCs w:val="20"/>
      <w:lang w:val="en-US" w:eastAsia="zh-CN" w:bidi="ar-SA"/>
    </w:rPr>
  </w:style>
  <w:style w:type="paragraph" w:customStyle="1" w:styleId="34">
    <w:name w:val="样式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5">
    <w:name w:val="样式 1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6">
    <w:name w:val="样式 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7">
    <w:name w:val="Revision"/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8">
    <w:name w:val="样式 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39">
    <w:name w:val="样式 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0">
    <w:name w:val="样式 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1">
    <w:name w:val="样式 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42">
    <w:name w:val="样式 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80</TotalTime>
  <Application>Yozo_Office</Application>
  <Pages>1</Pages>
  <Words>24</Words>
  <Characters>24</Characters>
  <Lines>1</Lines>
  <Paragraphs>0</Paragraphs>
  <CharactersWithSpaces>24</CharactersWithSpaces>
  <Company>Legend (Beijing) Limited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主题词：</dc:title>
  <dc:creator>wys/文印室/办公厅/aqsiq</dc:creator>
  <cp:lastModifiedBy>何可欣</cp:lastModifiedBy>
  <cp:revision>5</cp:revision>
  <cp:lastPrinted>2009-08-31T02:35:00Z</cp:lastPrinted>
  <dcterms:created xsi:type="dcterms:W3CDTF">2024-11-29T02:51:00Z</dcterms:created>
  <dcterms:modified xsi:type="dcterms:W3CDTF">2025-01-06T09:48:26Z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BB7281B6C8374F478416E2476C51B6B8_13</vt:lpwstr>
  </property>
</Properties>
</file>